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rPr>
          <w:rFonts w:ascii="Arial" w:cs="Arial" w:hAnsi="Arial" w:eastAsia="Arial"/>
          <w:b w:val="1"/>
          <w:bCs w:val="1"/>
          <w:sz w:val="28"/>
          <w:szCs w:val="28"/>
        </w:rPr>
      </w:pPr>
      <w:r>
        <w:rPr>
          <w:rFonts w:ascii="Arial" w:hAnsi="Arial"/>
          <w:b w:val="1"/>
          <w:bCs w:val="1"/>
          <w:sz w:val="28"/>
          <w:szCs w:val="28"/>
          <w:rtl w:val="0"/>
          <w:lang w:val="en-US"/>
        </w:rPr>
        <w:t>Obesity and dietitian societies combine to issue consensus recommendations on use of incretin drugs in obesity therapy</w:t>
      </w:r>
    </w:p>
    <w:p>
      <w:pPr>
        <w:pStyle w:val="Body"/>
        <w:rPr>
          <w:rFonts w:ascii="Arial" w:cs="Arial" w:hAnsi="Arial" w:eastAsia="Arial"/>
          <w:b w:val="1"/>
          <w:bCs w:val="1"/>
          <w:sz w:val="21"/>
          <w:szCs w:val="21"/>
        </w:rPr>
      </w:pPr>
      <w:r>
        <w:rPr>
          <w:rFonts w:ascii="Arial" w:hAnsi="Arial"/>
          <w:b w:val="1"/>
          <w:bCs w:val="1"/>
          <w:sz w:val="21"/>
          <w:szCs w:val="21"/>
          <w:rtl w:val="0"/>
          <w:lang w:val="en-US"/>
        </w:rPr>
        <w:t>Embargo: 2330H UK time Wednesday 8 July</w:t>
      </w:r>
    </w:p>
    <w:p>
      <w:pPr>
        <w:pStyle w:val="Body"/>
        <w:spacing w:line="276" w:lineRule="auto"/>
        <w:rPr>
          <w:rFonts w:ascii="Arial" w:cs="Arial" w:hAnsi="Arial" w:eastAsia="Arial"/>
          <w:outline w:val="0"/>
          <w:color w:val="212121"/>
          <w:sz w:val="21"/>
          <w:szCs w:val="21"/>
          <w:u w:color="212121"/>
          <w:shd w:val="clear" w:color="auto" w:fill="ffffff"/>
          <w14:textFill>
            <w14:solidFill>
              <w14:srgbClr w14:val="212121"/>
            </w14:solidFill>
          </w14:textFill>
        </w:rPr>
      </w:pPr>
      <w:r>
        <w:rPr>
          <w:rFonts w:ascii="Arial" w:hAnsi="Arial"/>
          <w:sz w:val="21"/>
          <w:szCs w:val="21"/>
          <w:rtl w:val="0"/>
          <w:lang w:val="en-US"/>
        </w:rPr>
        <w:t xml:space="preserve">Obesity and dietitian societies have joined forces to issue a new consensus statement on recommendations surrounding use of obesity drugs for weight loss treatment. The statement, which is published in </w:t>
      </w:r>
      <w:r>
        <w:rPr>
          <w:rFonts w:ascii="Arial" w:hAnsi="Arial"/>
          <w:i w:val="1"/>
          <w:iCs w:val="1"/>
          <w:sz w:val="21"/>
          <w:szCs w:val="21"/>
          <w:rtl w:val="0"/>
          <w:lang w:val="en-US"/>
        </w:rPr>
        <w:t>The Lancet Diabetes &amp; Endocrinology</w:t>
      </w:r>
      <w:r>
        <w:rPr>
          <w:rFonts w:ascii="Arial" w:hAnsi="Arial"/>
          <w:sz w:val="21"/>
          <w:szCs w:val="21"/>
          <w:rtl w:val="0"/>
          <w:lang w:val="en-US"/>
        </w:rPr>
        <w:t>, is led by Dr Laurence Dobbie of the Department of Population Health Sciences, King</w:t>
      </w:r>
      <w:r>
        <w:rPr>
          <w:rFonts w:ascii="Arial" w:hAnsi="Arial" w:hint="default"/>
          <w:sz w:val="21"/>
          <w:szCs w:val="21"/>
          <w:rtl w:val="0"/>
          <w:lang w:val="en-US"/>
        </w:rPr>
        <w:t>’</w:t>
      </w:r>
      <w:r>
        <w:rPr>
          <w:rFonts w:ascii="Arial" w:hAnsi="Arial"/>
          <w:sz w:val="21"/>
          <w:szCs w:val="21"/>
          <w:rtl w:val="0"/>
          <w:lang w:val="en-US"/>
        </w:rPr>
        <w:t xml:space="preserve">s College London, with an international team of 26 authors. </w:t>
      </w:r>
    </w:p>
    <w:p>
      <w:pPr>
        <w:pStyle w:val="Body"/>
        <w:spacing w:line="276" w:lineRule="auto"/>
        <w:rPr>
          <w:rFonts w:ascii="Arial" w:cs="Arial" w:hAnsi="Arial" w:eastAsia="Arial"/>
          <w:outline w:val="0"/>
          <w:color w:val="212121"/>
          <w:sz w:val="21"/>
          <w:szCs w:val="21"/>
          <w:u w:color="212121"/>
          <w:shd w:val="clear" w:color="auto" w:fill="ffffff"/>
          <w14:textFill>
            <w14:solidFill>
              <w14:srgbClr w14:val="212121"/>
            </w14:solidFill>
          </w14:textFill>
        </w:rPr>
      </w:pPr>
      <w:r>
        <w:rPr>
          <w:rFonts w:ascii="Arial" w:hAnsi="Arial"/>
          <w:sz w:val="21"/>
          <w:szCs w:val="21"/>
          <w:rtl w:val="0"/>
          <w:lang w:val="en-US"/>
        </w:rPr>
        <w:t xml:space="preserve">Incretin-based therapies (IBT) such as GLP-1 receptor agonists, have transformed obesity management but may pose nutritional, functional, and psychological risks. To ensure that patients get the best and safest care while using these relatively new drugs, the European Association for the Study of Obesity (EASO) (which organises the European Congress on Obesity), the European Federation of the Associations of Dietitians (EFAD) and the European Collation for People living with Obesity (ECPO) have come together to produce this new consensus statement that covers a wide range of issues connected with obesity drugs. </w:t>
      </w:r>
      <w:r>
        <w:rPr>
          <w:rFonts w:ascii="Arial" w:hAnsi="Arial"/>
          <w:outline w:val="0"/>
          <w:color w:val="212121"/>
          <w:sz w:val="21"/>
          <w:szCs w:val="21"/>
          <w:u w:color="212121"/>
          <w:shd w:val="clear" w:color="auto" w:fill="ffffff"/>
          <w:rtl w:val="0"/>
          <w14:textFill>
            <w14:solidFill>
              <w14:srgbClr w14:val="212121"/>
            </w14:solidFill>
          </w14:textFill>
        </w:rPr>
        <w:t xml:space="preserve"> </w:t>
      </w:r>
    </w:p>
    <w:p>
      <w:pPr>
        <w:pStyle w:val="Body"/>
        <w:spacing w:line="276" w:lineRule="auto"/>
        <w:rPr>
          <w:rFonts w:ascii="Arial" w:cs="Arial" w:hAnsi="Arial" w:eastAsia="Arial"/>
          <w:outline w:val="0"/>
          <w:color w:val="212121"/>
          <w:sz w:val="21"/>
          <w:szCs w:val="21"/>
          <w:u w:color="212121"/>
          <w:shd w:val="clear" w:color="auto" w:fill="ffffff"/>
          <w14:textFill>
            <w14:solidFill>
              <w14:srgbClr w14:val="212121"/>
            </w14:solidFill>
          </w14:textFill>
        </w:rPr>
      </w:pPr>
      <w:r>
        <w:rPr>
          <w:rFonts w:ascii="Arial" w:hAnsi="Arial"/>
          <w:outline w:val="0"/>
          <w:color w:val="212121"/>
          <w:sz w:val="21"/>
          <w:szCs w:val="21"/>
          <w:u w:color="212121"/>
          <w:shd w:val="clear" w:color="auto" w:fill="ffffff"/>
          <w:rtl w:val="0"/>
          <w:lang w:val="en-US"/>
          <w14:textFill>
            <w14:solidFill>
              <w14:srgbClr w14:val="212121"/>
            </w14:solidFill>
          </w14:textFill>
        </w:rPr>
        <w:t xml:space="preserve">These include: </w:t>
      </w:r>
    </w:p>
    <w:p>
      <w:pPr>
        <w:pStyle w:val="Body"/>
        <w:spacing w:line="276" w:lineRule="auto"/>
        <w:rPr>
          <w:rFonts w:ascii="Arial" w:cs="Arial" w:hAnsi="Arial" w:eastAsia="Arial"/>
          <w:sz w:val="21"/>
          <w:szCs w:val="21"/>
        </w:rPr>
      </w:pPr>
      <w:r>
        <w:rPr>
          <w:rFonts w:ascii="Arial" w:hAnsi="Arial"/>
          <w:b w:val="1"/>
          <w:bCs w:val="1"/>
          <w:sz w:val="21"/>
          <w:szCs w:val="21"/>
          <w:rtl w:val="0"/>
          <w:lang w:val="en-US"/>
        </w:rPr>
        <w:t xml:space="preserve">Medical nutrition therapy (MNT): </w:t>
      </w:r>
      <w:r>
        <w:rPr>
          <w:rFonts w:ascii="Arial" w:hAnsi="Arial"/>
          <w:sz w:val="21"/>
          <w:szCs w:val="21"/>
          <w:rtl w:val="0"/>
          <w:lang w:val="en-US"/>
        </w:rPr>
        <w:t>MNT delivered by a registered dietitian is central to obesity care and complements IBTs.  The statement highlights the role of dietitians in providing, for example, advice on correct nutrition to ensure protein, vitamin and mineral intake is adequate; and also dose-scaling of obesity drugs to minimise gastrointestinal side effects. Dietitians are also essential in reinforcing healthy dietary patterns and facilitating long-term behaviour change</w:t>
      </w:r>
      <w:r>
        <w:rPr>
          <w:rFonts w:ascii="Arial" w:hAnsi="Arial"/>
          <w:rtl w:val="0"/>
          <w:lang w:val="en-US"/>
        </w:rPr>
        <w:t xml:space="preserve"> Furthermore, </w:t>
      </w:r>
      <w:r>
        <w:rPr>
          <w:rFonts w:ascii="Arial" w:hAnsi="Arial"/>
          <w:sz w:val="21"/>
          <w:szCs w:val="21"/>
          <w:rtl w:val="0"/>
          <w:lang w:val="en-US"/>
        </w:rPr>
        <w:t>it is important that MNT is provided with respectful, empowering, weight-inclusive communication that recognises health beyond the scales.</w:t>
      </w:r>
      <w:r>
        <w:rPr>
          <w:rFonts w:ascii="Arial" w:hAnsi="Arial"/>
          <w:rtl w:val="0"/>
        </w:rPr>
        <w:t xml:space="preserve">  </w:t>
      </w:r>
    </w:p>
    <w:p>
      <w:pPr>
        <w:pStyle w:val="Body"/>
        <w:spacing w:line="276" w:lineRule="auto"/>
        <w:rPr>
          <w:rFonts w:ascii="Arial" w:cs="Arial" w:hAnsi="Arial" w:eastAsia="Arial"/>
          <w:sz w:val="21"/>
          <w:szCs w:val="21"/>
        </w:rPr>
      </w:pPr>
      <w:r>
        <w:rPr>
          <w:rFonts w:ascii="Arial" w:hAnsi="Arial"/>
          <w:b w:val="1"/>
          <w:bCs w:val="1"/>
          <w:sz w:val="21"/>
          <w:szCs w:val="21"/>
          <w:rtl w:val="0"/>
          <w:lang w:val="en-US"/>
        </w:rPr>
        <w:t xml:space="preserve">Nutritional psychology:  </w:t>
      </w:r>
      <w:r>
        <w:rPr>
          <w:rFonts w:ascii="Arial" w:hAnsi="Arial"/>
          <w:sz w:val="21"/>
          <w:szCs w:val="21"/>
          <w:rtl w:val="0"/>
          <w:lang w:val="en-US"/>
        </w:rPr>
        <w:t>Although IBTs are generally linked to improved mental health, many people living with obesity have pre-existing psychological vulnerabilities. During the profound identity changes that can accompany significant weight loss there is potential for the re</w:t>
      </w:r>
      <w:r>
        <w:rPr>
          <w:rFonts w:ascii="Cambria Math" w:cs="Cambria Math" w:hAnsi="Cambria Math" w:eastAsia="Cambria Math"/>
          <w:sz w:val="21"/>
          <w:szCs w:val="21"/>
          <w:rtl w:val="0"/>
          <w:lang w:val="en-US"/>
        </w:rPr>
        <w:t>‑</w:t>
      </w:r>
      <w:r>
        <w:rPr>
          <w:rFonts w:ascii="Arial" w:hAnsi="Arial"/>
          <w:sz w:val="21"/>
          <w:szCs w:val="21"/>
          <w:rtl w:val="0"/>
          <w:lang w:val="en-US"/>
        </w:rPr>
        <w:t xml:space="preserve">emergence of mental health issues. Those trained in mental health within the multidisciplinary care team should be vigilant for these problems and also screen for them before the patient begins using obesity medications. Alcohol use disorders should also be screened for before starting GLP-1 treatment. </w:t>
      </w:r>
    </w:p>
    <w:p>
      <w:pPr>
        <w:pStyle w:val="Body"/>
        <w:spacing w:line="276" w:lineRule="auto"/>
        <w:rPr>
          <w:rFonts w:ascii="Arial" w:cs="Arial" w:hAnsi="Arial" w:eastAsia="Arial"/>
          <w:sz w:val="21"/>
          <w:szCs w:val="21"/>
        </w:rPr>
      </w:pPr>
      <w:r>
        <w:rPr>
          <w:rFonts w:ascii="Arial" w:hAnsi="Arial"/>
          <w:b w:val="1"/>
          <w:bCs w:val="1"/>
          <w:sz w:val="21"/>
          <w:szCs w:val="21"/>
          <w:rtl w:val="0"/>
          <w:lang w:val="en-US"/>
        </w:rPr>
        <w:t>Monitoring body composition and functional capacity</w:t>
      </w:r>
      <w:r>
        <w:rPr>
          <w:rFonts w:ascii="Arial" w:hAnsi="Arial"/>
          <w:sz w:val="21"/>
          <w:szCs w:val="21"/>
          <w:rtl w:val="0"/>
          <w:lang w:val="en-US"/>
        </w:rPr>
        <w:t xml:space="preserve">: analysis of existing trials show 24-30% of weight loss with IBTs is </w:t>
      </w:r>
      <w:r>
        <w:rPr>
          <w:rFonts w:ascii="Arial" w:hAnsi="Arial" w:hint="default"/>
          <w:sz w:val="21"/>
          <w:szCs w:val="21"/>
          <w:rtl w:val="0"/>
          <w:lang w:val="en-US"/>
        </w:rPr>
        <w:t>‘</w:t>
      </w:r>
      <w:r>
        <w:rPr>
          <w:rFonts w:ascii="Arial" w:hAnsi="Arial"/>
          <w:sz w:val="21"/>
          <w:szCs w:val="21"/>
          <w:rtl w:val="0"/>
          <w:lang w:val="en-US"/>
        </w:rPr>
        <w:t>fat free mass</w:t>
      </w:r>
      <w:r>
        <w:rPr>
          <w:rFonts w:ascii="Arial" w:hAnsi="Arial" w:hint="default"/>
          <w:sz w:val="21"/>
          <w:szCs w:val="21"/>
          <w:rtl w:val="0"/>
          <w:lang w:val="en-US"/>
        </w:rPr>
        <w:t xml:space="preserve">’ </w:t>
      </w:r>
      <w:r>
        <w:rPr>
          <w:rFonts w:ascii="Arial" w:hAnsi="Arial"/>
          <w:sz w:val="21"/>
          <w:szCs w:val="21"/>
          <w:rtl w:val="0"/>
          <w:lang w:val="en-US"/>
        </w:rPr>
        <w:t xml:space="preserve">(mostly muscle) </w:t>
      </w:r>
      <w:r>
        <w:rPr>
          <w:rFonts w:ascii="Arial" w:hAnsi="Arial" w:hint="default"/>
          <w:sz w:val="21"/>
          <w:szCs w:val="21"/>
          <w:rtl w:val="0"/>
          <w:lang w:val="en-US"/>
        </w:rPr>
        <w:t xml:space="preserve">– </w:t>
      </w:r>
      <w:r>
        <w:rPr>
          <w:rFonts w:ascii="Arial" w:hAnsi="Arial"/>
          <w:sz w:val="21"/>
          <w:szCs w:val="21"/>
          <w:rtl w:val="0"/>
          <w:lang w:val="en-US"/>
        </w:rPr>
        <w:t>but the health implications of this are not yet clear</w:t>
      </w:r>
      <w:r>
        <w:rPr>
          <w:rFonts w:ascii="Arial" w:hAnsi="Arial"/>
          <w:b w:val="1"/>
          <w:bCs w:val="1"/>
          <w:sz w:val="21"/>
          <w:szCs w:val="21"/>
          <w:rtl w:val="0"/>
        </w:rPr>
        <w:t xml:space="preserve">, </w:t>
      </w:r>
      <w:r>
        <w:rPr>
          <w:rFonts w:ascii="Arial" w:hAnsi="Arial"/>
          <w:sz w:val="21"/>
          <w:szCs w:val="21"/>
          <w:rtl w:val="0"/>
          <w:lang w:val="en-US"/>
        </w:rPr>
        <w:t xml:space="preserve">especially in older adults who have proportionally less muscle mass to begin with. </w:t>
      </w:r>
    </w:p>
    <w:p>
      <w:pPr>
        <w:pStyle w:val="Body"/>
        <w:spacing w:line="276" w:lineRule="auto"/>
        <w:rPr>
          <w:rFonts w:ascii="Arial" w:cs="Arial" w:hAnsi="Arial" w:eastAsia="Arial"/>
          <w:sz w:val="21"/>
          <w:szCs w:val="21"/>
        </w:rPr>
      </w:pPr>
      <w:r>
        <w:rPr>
          <w:rFonts w:ascii="Arial" w:hAnsi="Arial"/>
          <w:sz w:val="21"/>
          <w:szCs w:val="21"/>
          <w:rtl w:val="0"/>
          <w:lang w:val="en-US"/>
        </w:rPr>
        <w:t xml:space="preserve">A pragmatic target, where body-composition data are available, may be to aim for an approximate 3:1 ratio of fat loss to lean-mass loss (i.e., for every 4 kg lost, </w:t>
      </w:r>
      <w:r>
        <w:rPr>
          <w:rFonts w:ascii="Arial" w:hAnsi="Arial" w:hint="default"/>
          <w:sz w:val="21"/>
          <w:szCs w:val="21"/>
          <w:rtl w:val="0"/>
          <w:lang w:val="en-US"/>
        </w:rPr>
        <w:t>≥</w:t>
      </w:r>
      <w:r>
        <w:rPr>
          <w:rFonts w:ascii="Arial" w:hAnsi="Arial"/>
          <w:sz w:val="21"/>
          <w:szCs w:val="21"/>
          <w:rtl w:val="0"/>
          <w:lang w:val="en-US"/>
        </w:rPr>
        <w:t xml:space="preserve">3 kg fat and </w:t>
      </w:r>
      <w:r>
        <w:rPr>
          <w:rFonts w:ascii="Arial" w:hAnsi="Arial" w:hint="default"/>
          <w:sz w:val="21"/>
          <w:szCs w:val="21"/>
          <w:rtl w:val="0"/>
          <w:lang w:val="en-US"/>
        </w:rPr>
        <w:t>≤</w:t>
      </w:r>
      <w:r>
        <w:rPr>
          <w:rFonts w:ascii="Arial" w:hAnsi="Arial"/>
          <w:sz w:val="21"/>
          <w:szCs w:val="21"/>
          <w:rtl w:val="0"/>
          <w:lang w:val="en-US"/>
        </w:rPr>
        <w:t>1 kg fat-free mass); To monitor body composition and functional status, the consensus statement recommends, consistent with the EASO diagnostic framework, to consider moving beyond BMI alone by incorporating central adiposity (waist circumference or waist-to-height ratio) and a pragmatic measure of muscle function (e.g., adjusted handgrip strength or 5x sit-to-stand) with DXA (dualenergy Xray absorptiometry) or BIA (bioelectrical impedance analysis) used where available locally, where costs allow, and particularly for individuals at higher risk of sarcopenia.</w:t>
      </w:r>
    </w:p>
    <w:p>
      <w:pPr>
        <w:pStyle w:val="Body"/>
        <w:spacing w:line="276" w:lineRule="auto"/>
        <w:rPr>
          <w:rFonts w:ascii="Arial" w:cs="Arial" w:hAnsi="Arial" w:eastAsia="Arial"/>
          <w:sz w:val="21"/>
          <w:szCs w:val="21"/>
        </w:rPr>
      </w:pPr>
    </w:p>
    <w:p>
      <w:pPr>
        <w:pStyle w:val="Body"/>
        <w:spacing w:before="100" w:after="100" w:line="276" w:lineRule="auto"/>
        <w:rPr>
          <w:rFonts w:ascii="Arial" w:cs="Arial" w:hAnsi="Arial" w:eastAsia="Arial"/>
          <w:outline w:val="0"/>
          <w:color w:val="000000"/>
          <w:sz w:val="21"/>
          <w:szCs w:val="21"/>
          <w:u w:color="000000"/>
          <w:shd w:val="clear" w:color="auto" w:fill="ffffff"/>
          <w14:textFill>
            <w14:solidFill>
              <w14:srgbClr w14:val="000000"/>
            </w14:solidFill>
          </w14:textFill>
        </w:rPr>
      </w:pPr>
      <w:r>
        <w:rPr>
          <w:rFonts w:ascii="Arial" w:hAnsi="Arial"/>
          <w:b w:val="1"/>
          <w:bCs w:val="1"/>
          <w:outline w:val="0"/>
          <w:color w:val="000000"/>
          <w:sz w:val="21"/>
          <w:szCs w:val="21"/>
          <w:u w:color="000000"/>
          <w:shd w:val="clear" w:color="auto" w:fill="ffffff"/>
          <w:rtl w:val="0"/>
          <w:lang w:val="en-US"/>
          <w14:textFill>
            <w14:solidFill>
              <w14:srgbClr w14:val="000000"/>
            </w14:solidFill>
          </w14:textFill>
        </w:rPr>
        <w:t xml:space="preserve">Physical Activity (PA) and Exercise in Obesity Management: </w:t>
      </w:r>
      <w:r>
        <w:rPr>
          <w:rFonts w:ascii="Arial" w:hAnsi="Arial"/>
          <w:outline w:val="0"/>
          <w:color w:val="000000"/>
          <w:sz w:val="21"/>
          <w:szCs w:val="21"/>
          <w:u w:color="000000"/>
          <w:shd w:val="clear" w:color="auto" w:fill="ffffff"/>
          <w:rtl w:val="0"/>
          <w:lang w:val="en-US"/>
          <w14:textFill>
            <w14:solidFill>
              <w14:srgbClr w14:val="000000"/>
            </w14:solidFill>
          </w14:textFill>
        </w:rPr>
        <w:t xml:space="preserve">patients should be helped to understand any physical activity will both help with weight loss and prevent weight gain; as well as helping general and mental health. The consensus statement stresses the importance of muscle-strengthening (resistance) training to help reduce lean body mass loss during obesity management alongside aerobic exercise. </w:t>
      </w:r>
    </w:p>
    <w:p>
      <w:pPr>
        <w:pStyle w:val="Body"/>
        <w:spacing w:line="276" w:lineRule="auto"/>
        <w:rPr>
          <w:rFonts w:ascii="Arial" w:cs="Arial" w:hAnsi="Arial" w:eastAsia="Arial"/>
          <w:b w:val="1"/>
          <w:bCs w:val="1"/>
          <w:sz w:val="21"/>
          <w:szCs w:val="21"/>
        </w:rPr>
      </w:pPr>
      <w:r>
        <w:rPr>
          <w:rFonts w:ascii="Arial" w:hAnsi="Arial"/>
          <w:b w:val="1"/>
          <w:bCs w:val="1"/>
          <w:sz w:val="21"/>
          <w:szCs w:val="21"/>
          <w:rtl w:val="0"/>
          <w:lang w:val="en-US"/>
        </w:rPr>
        <w:t>Socioeconomic considerations:</w:t>
      </w:r>
      <w:r>
        <w:rPr>
          <w:rFonts w:ascii="Arial" w:hAnsi="Arial"/>
          <w:sz w:val="21"/>
          <w:szCs w:val="21"/>
          <w:rtl w:val="0"/>
          <w:lang w:val="en-US"/>
        </w:rPr>
        <w:t xml:space="preserve"> Obesity disproportionately affects minority ethnic groups and lower socioeconomic populations</w:t>
      </w:r>
      <w:r>
        <w:rPr>
          <w:rFonts w:ascii="Arial" w:hAnsi="Arial"/>
          <w:outline w:val="0"/>
          <w:color w:val="000000"/>
          <w:sz w:val="21"/>
          <w:szCs w:val="21"/>
          <w:u w:color="000000"/>
          <w:rtl w:val="0"/>
          <w:lang w:val="en-US"/>
          <w14:textFill>
            <w14:solidFill>
              <w14:srgbClr w14:val="000000"/>
            </w14:solidFill>
          </w14:textFill>
        </w:rPr>
        <w:t xml:space="preserve">, who also have reduced access to specialist services (UK) and IBTs (North America). Socioeconomic deprivation and reliance on public insurance are associated with poorer adherence, while private-pay models further exacerbate affordability barriers. </w:t>
      </w:r>
    </w:p>
    <w:p>
      <w:pPr>
        <w:pStyle w:val="Body"/>
        <w:spacing w:line="276" w:lineRule="auto"/>
        <w:rPr>
          <w:rFonts w:ascii="Arial" w:cs="Arial" w:hAnsi="Arial" w:eastAsia="Arial"/>
          <w:outline w:val="0"/>
          <w:color w:val="000000"/>
          <w:sz w:val="21"/>
          <w:szCs w:val="21"/>
          <w:u w:color="000000"/>
          <w14:textFill>
            <w14:solidFill>
              <w14:srgbClr w14:val="000000"/>
            </w14:solidFill>
          </w14:textFill>
        </w:rPr>
      </w:pPr>
      <w:r>
        <w:rPr>
          <w:rFonts w:ascii="Arial" w:hAnsi="Arial"/>
          <w:outline w:val="0"/>
          <w:color w:val="000000"/>
          <w:sz w:val="21"/>
          <w:szCs w:val="21"/>
          <w:u w:color="000000"/>
          <w:rtl w:val="0"/>
          <w:lang w:val="en-US"/>
          <w14:textFill>
            <w14:solidFill>
              <w14:srgbClr w14:val="000000"/>
            </w14:solidFill>
          </w14:textFill>
        </w:rPr>
        <w:t xml:space="preserve">Provision of IBTs is also influenced by regional regulations and prescribing guidance; people with obesity without diagnosed complications are often disadvantaged compared with those with diagnosed obesity-related complications </w:t>
      </w:r>
      <w:r>
        <w:rPr>
          <w:rFonts w:ascii="Arial" w:hAnsi="Arial" w:hint="default"/>
          <w:outline w:val="0"/>
          <w:color w:val="000000"/>
          <w:sz w:val="21"/>
          <w:szCs w:val="21"/>
          <w:u w:color="000000"/>
          <w:rtl w:val="0"/>
          <w:lang w:val="en-US"/>
          <w14:textFill>
            <w14:solidFill>
              <w14:srgbClr w14:val="000000"/>
            </w14:solidFill>
          </w14:textFill>
        </w:rPr>
        <w:t xml:space="preserve">– </w:t>
      </w:r>
      <w:r>
        <w:rPr>
          <w:rFonts w:ascii="Arial" w:hAnsi="Arial"/>
          <w:outline w:val="0"/>
          <w:color w:val="000000"/>
          <w:sz w:val="21"/>
          <w:szCs w:val="21"/>
          <w:u w:color="000000"/>
          <w:rtl w:val="0"/>
          <w:lang w:val="en-US"/>
          <w14:textFill>
            <w14:solidFill>
              <w14:srgbClr w14:val="000000"/>
            </w14:solidFill>
          </w14:textFill>
        </w:rPr>
        <w:t>in other words, there continues to be a stigma surrounding treating obesity itself as a disease especially when it does not have comorbid complications. The consensus statement says that policy should expand IBT coverage and address stigma, while clinical services should improve access to dietitian-led MNT, which could reduce inequalities, improve adherence and outcomes.</w:t>
      </w:r>
    </w:p>
    <w:p>
      <w:pPr>
        <w:pStyle w:val="Body"/>
        <w:spacing w:line="276" w:lineRule="auto"/>
        <w:rPr>
          <w:rFonts w:ascii="Arial" w:cs="Arial" w:hAnsi="Arial" w:eastAsia="Arial"/>
          <w:sz w:val="21"/>
          <w:szCs w:val="21"/>
        </w:rPr>
      </w:pPr>
      <w:r>
        <w:rPr>
          <w:rFonts w:ascii="Arial" w:hAnsi="Arial"/>
          <w:outline w:val="0"/>
          <w:color w:val="000000"/>
          <w:sz w:val="21"/>
          <w:szCs w:val="21"/>
          <w:u w:color="000000"/>
          <w:rtl w:val="0"/>
          <w:lang w:val="en-US"/>
          <w14:textFill>
            <w14:solidFill>
              <w14:srgbClr w14:val="000000"/>
            </w14:solidFill>
          </w14:textFill>
        </w:rPr>
        <w:t xml:space="preserve">The consensus statement also addresses </w:t>
      </w:r>
      <w:r>
        <w:rPr>
          <w:rFonts w:ascii="Arial" w:hAnsi="Arial"/>
          <w:b w:val="1"/>
          <w:bCs w:val="1"/>
          <w:outline w:val="0"/>
          <w:color w:val="000000"/>
          <w:sz w:val="21"/>
          <w:szCs w:val="21"/>
          <w:u w:color="000000"/>
          <w:rtl w:val="0"/>
          <w:lang w:val="en-US"/>
          <w14:textFill>
            <w14:solidFill>
              <w14:srgbClr w14:val="000000"/>
            </w14:solidFill>
          </w14:textFill>
        </w:rPr>
        <w:t>future research priorities</w:t>
      </w:r>
      <w:r>
        <w:rPr>
          <w:rFonts w:ascii="Arial" w:hAnsi="Arial"/>
          <w:outline w:val="0"/>
          <w:color w:val="000000"/>
          <w:sz w:val="21"/>
          <w:szCs w:val="21"/>
          <w:u w:color="000000"/>
          <w:rtl w:val="0"/>
          <w:lang w:val="en-US"/>
          <w14:textFill>
            <w14:solidFill>
              <w14:srgbClr w14:val="000000"/>
            </w14:solidFill>
          </w14:textFill>
        </w:rPr>
        <w:t xml:space="preserve"> that must be addressed to fill various knowledge and evidence gaps. </w:t>
      </w:r>
      <w:r>
        <w:rPr>
          <w:rFonts w:ascii="Arial" w:hAnsi="Arial"/>
          <w:sz w:val="21"/>
          <w:szCs w:val="21"/>
          <w:rtl w:val="0"/>
          <w:lang w:val="en-US"/>
        </w:rPr>
        <w:t xml:space="preserve">A systematic review of 417 IBT randomised controlled trials showed that less than 20% reported dietary intake or nutritional biomarkers and less than 5% reported bone, micronutrient or physical-function outcomes, leaving major gaps across nutritional, functional and psychological domains. </w:t>
      </w:r>
    </w:p>
    <w:p>
      <w:pPr>
        <w:pStyle w:val="Body"/>
        <w:spacing w:line="276" w:lineRule="auto"/>
        <w:rPr>
          <w:rFonts w:ascii="Arial" w:cs="Arial" w:hAnsi="Arial" w:eastAsia="Arial"/>
          <w:sz w:val="21"/>
          <w:szCs w:val="21"/>
        </w:rPr>
      </w:pPr>
      <w:r>
        <w:rPr>
          <w:rFonts w:ascii="Arial" w:hAnsi="Arial"/>
          <w:sz w:val="21"/>
          <w:szCs w:val="21"/>
          <w:rtl w:val="0"/>
          <w:lang w:val="en-US"/>
        </w:rPr>
        <w:t xml:space="preserve">The authors say: </w:t>
      </w:r>
      <w:r>
        <w:rPr>
          <w:rFonts w:ascii="Arial" w:hAnsi="Arial" w:hint="default"/>
          <w:sz w:val="21"/>
          <w:szCs w:val="21"/>
          <w:rtl w:val="0"/>
          <w:lang w:val="en-US"/>
        </w:rPr>
        <w:t>“</w:t>
      </w:r>
      <w:r>
        <w:rPr>
          <w:rFonts w:ascii="Arial" w:hAnsi="Arial"/>
          <w:sz w:val="21"/>
          <w:szCs w:val="21"/>
          <w:rtl w:val="0"/>
          <w:lang w:val="en-US"/>
        </w:rPr>
        <w:t xml:space="preserve">Research priorities include a core outcome set for IBT trials; robust nutritional-safety surveillance (including malnutrition screening tools); evaluation of muscle function and performance, mobility and strength outcomes; strategies to preserve lean mass and bone; optimal protein intake during IBT treatment; psychological outcomes and targeted supports; dose-titration methods that reduce discontinuation due to gastrointestinal side effects; haematological and pharmacokinetic safety; mixed-methods studies of the </w:t>
      </w:r>
      <w:r>
        <w:rPr>
          <w:rFonts w:ascii="Arial" w:hAnsi="Arial" w:hint="default"/>
          <w:sz w:val="21"/>
          <w:szCs w:val="21"/>
          <w:rtl w:val="0"/>
          <w:lang w:val="en-US"/>
        </w:rPr>
        <w:t>‘</w:t>
      </w:r>
      <w:r>
        <w:rPr>
          <w:rFonts w:ascii="Arial" w:hAnsi="Arial"/>
          <w:sz w:val="21"/>
          <w:szCs w:val="21"/>
          <w:rtl w:val="0"/>
          <w:lang w:val="en-US"/>
        </w:rPr>
        <w:t>real world</w:t>
      </w:r>
      <w:r>
        <w:rPr>
          <w:rFonts w:ascii="Arial" w:hAnsi="Arial" w:hint="default"/>
          <w:sz w:val="21"/>
          <w:szCs w:val="21"/>
          <w:rtl w:val="0"/>
          <w:lang w:val="en-US"/>
        </w:rPr>
        <w:t xml:space="preserve">’ </w:t>
      </w:r>
      <w:r>
        <w:rPr>
          <w:rFonts w:ascii="Arial" w:hAnsi="Arial"/>
          <w:sz w:val="21"/>
          <w:szCs w:val="21"/>
          <w:rtl w:val="0"/>
          <w:lang w:val="en-US"/>
        </w:rPr>
        <w:t>lived-experience; and post-cessation, post-obesity surgery and special-population studies.</w:t>
      </w:r>
      <w:r>
        <w:rPr>
          <w:rFonts w:ascii="Arial" w:hAnsi="Arial" w:hint="default"/>
          <w:sz w:val="21"/>
          <w:szCs w:val="21"/>
          <w:rtl w:val="0"/>
          <w:lang w:val="en-US"/>
        </w:rPr>
        <w:t>”</w:t>
      </w:r>
    </w:p>
    <w:p>
      <w:pPr>
        <w:pStyle w:val="Body"/>
        <w:spacing w:line="276" w:lineRule="auto"/>
        <w:rPr>
          <w:rFonts w:ascii="Arial" w:cs="Arial" w:hAnsi="Arial" w:eastAsia="Arial"/>
          <w:sz w:val="21"/>
          <w:szCs w:val="21"/>
        </w:rPr>
      </w:pPr>
      <w:r>
        <w:rPr>
          <w:rFonts w:ascii="Arial" w:hAnsi="Arial"/>
          <w:sz w:val="21"/>
          <w:szCs w:val="21"/>
          <w:rtl w:val="0"/>
          <w:lang w:val="en-US"/>
        </w:rPr>
        <w:t xml:space="preserve">They conclude: </w:t>
      </w:r>
      <w:r>
        <w:rPr>
          <w:rFonts w:ascii="Arial" w:hAnsi="Arial" w:hint="default"/>
          <w:sz w:val="21"/>
          <w:szCs w:val="21"/>
          <w:rtl w:val="0"/>
          <w:lang w:val="en-US"/>
        </w:rPr>
        <w:t>“</w:t>
      </w:r>
      <w:r>
        <w:rPr>
          <w:rFonts w:ascii="Arial" w:hAnsi="Arial"/>
          <w:sz w:val="21"/>
          <w:szCs w:val="21"/>
          <w:rtl w:val="0"/>
          <w:lang w:val="en-US"/>
        </w:rPr>
        <w:t>IBTs represent a paradigm shift in obesity care; optimal implementation includes dietitian-led medical nutrition therapy with integrated psychological and functional support. Priorities are mitigating gastrointestinal effects, preventing micronutrient deficiencies, and preserving lean mass via adequate protein, fibre, fluids and nutrient-dense foods, alongside resistance training, targeted supplementation and regular monitoring, with attention to identity, coping and disordered-eating. Research is needed, to evaluate long-term nutritional, functional and psychological outcomes, develop obesity-specific malnutrition tools, and test strategies to protect muscle and bone.</w:t>
      </w:r>
      <w:r>
        <w:rPr>
          <w:rFonts w:ascii="Arial" w:hAnsi="Arial" w:hint="default"/>
          <w:sz w:val="21"/>
          <w:szCs w:val="21"/>
          <w:rtl w:val="0"/>
          <w:lang w:val="en-US"/>
        </w:rPr>
        <w:t>”</w:t>
      </w:r>
    </w:p>
    <w:p>
      <w:pPr>
        <w:pStyle w:val="Body"/>
        <w:spacing w:line="276" w:lineRule="auto"/>
        <w:rPr>
          <w:rFonts w:ascii="Arial" w:cs="Arial" w:hAnsi="Arial" w:eastAsia="Arial"/>
          <w:b w:val="1"/>
          <w:bCs w:val="1"/>
          <w:outline w:val="0"/>
          <w:color w:val="212121"/>
          <w:sz w:val="21"/>
          <w:szCs w:val="21"/>
          <w:u w:color="212121"/>
          <w:shd w:val="clear" w:color="auto" w:fill="ffffff"/>
          <w14:textFill>
            <w14:solidFill>
              <w14:srgbClr w14:val="212121"/>
            </w14:solidFill>
          </w14:textFill>
        </w:rPr>
      </w:pPr>
      <w:r>
        <w:rPr>
          <w:rFonts w:ascii="Arial" w:hAnsi="Arial"/>
          <w:b w:val="1"/>
          <w:bCs w:val="1"/>
          <w:sz w:val="21"/>
          <w:szCs w:val="21"/>
          <w:rtl w:val="0"/>
          <w:lang w:val="fr-FR"/>
        </w:rPr>
        <w:t xml:space="preserve">Dr Laurence Dobbie, </w:t>
      </w:r>
      <w:r>
        <w:rPr>
          <w:rFonts w:ascii="Arial" w:hAnsi="Arial"/>
          <w:b w:val="1"/>
          <w:bCs w:val="1"/>
          <w:outline w:val="0"/>
          <w:color w:val="212121"/>
          <w:sz w:val="21"/>
          <w:szCs w:val="21"/>
          <w:u w:color="212121"/>
          <w:shd w:val="clear" w:color="auto" w:fill="ffffff"/>
          <w:rtl w:val="0"/>
          <w:lang w:val="en-US"/>
          <w14:textFill>
            <w14:solidFill>
              <w14:srgbClr w14:val="212121"/>
            </w14:solidFill>
          </w14:textFill>
        </w:rPr>
        <w:t>Department of Population Health Sciences, School of Life Course &amp; Population Sciences, King</w:t>
      </w:r>
      <w:r>
        <w:rPr>
          <w:rFonts w:ascii="Arial" w:hAnsi="Arial" w:hint="default"/>
          <w:b w:val="1"/>
          <w:bCs w:val="1"/>
          <w:outline w:val="0"/>
          <w:color w:val="212121"/>
          <w:sz w:val="21"/>
          <w:szCs w:val="21"/>
          <w:u w:color="212121"/>
          <w:shd w:val="clear" w:color="auto" w:fill="ffffff"/>
          <w:rtl w:val="0"/>
          <w:lang w:val="en-US"/>
          <w14:textFill>
            <w14:solidFill>
              <w14:srgbClr w14:val="212121"/>
            </w14:solidFill>
          </w14:textFill>
        </w:rPr>
        <w:t>’</w:t>
      </w:r>
      <w:r>
        <w:rPr>
          <w:rFonts w:ascii="Arial" w:hAnsi="Arial"/>
          <w:b w:val="1"/>
          <w:bCs w:val="1"/>
          <w:outline w:val="0"/>
          <w:color w:val="212121"/>
          <w:sz w:val="21"/>
          <w:szCs w:val="21"/>
          <w:u w:color="212121"/>
          <w:shd w:val="clear" w:color="auto" w:fill="ffffff"/>
          <w:rtl w:val="0"/>
          <w:lang w:val="it-IT"/>
          <w14:textFill>
            <w14:solidFill>
              <w14:srgbClr w14:val="212121"/>
            </w14:solidFill>
          </w14:textFill>
        </w:rPr>
        <w:t xml:space="preserve">s College London. T) +44 7739 384859 E) </w:t>
      </w:r>
      <w:r>
        <w:rPr>
          <w:rStyle w:val="Hyperlink.0"/>
        </w:rPr>
        <w:fldChar w:fldCharType="begin" w:fldLock="0"/>
      </w:r>
      <w:r>
        <w:rPr>
          <w:rStyle w:val="Hyperlink.0"/>
        </w:rPr>
        <w:instrText xml:space="preserve"> HYPERLINK "mailto:Laurence.dobbie@kcl.ac.uk"</w:instrText>
      </w:r>
      <w:r>
        <w:rPr>
          <w:rStyle w:val="Hyperlink.0"/>
        </w:rPr>
        <w:fldChar w:fldCharType="separate" w:fldLock="0"/>
      </w:r>
      <w:r>
        <w:rPr>
          <w:rStyle w:val="Hyperlink.0"/>
          <w:rtl w:val="0"/>
          <w:lang w:val="fr-FR"/>
        </w:rPr>
        <w:t>Laurence.dobbie@kcl.ac.uk</w:t>
      </w:r>
      <w:r>
        <w:rPr/>
        <w:fldChar w:fldCharType="end" w:fldLock="0"/>
      </w:r>
    </w:p>
    <w:p>
      <w:pPr>
        <w:pStyle w:val="Body"/>
      </w:pPr>
      <w:r>
        <w:rPr>
          <w:rFonts w:ascii="Arial" w:hAnsi="Arial"/>
          <w:b w:val="1"/>
          <w:bCs w:val="1"/>
          <w:sz w:val="21"/>
          <w:szCs w:val="21"/>
          <w:rtl w:val="0"/>
        </w:rPr>
        <w:t xml:space="preserve">Alternative contact </w:t>
      </w:r>
      <w:r>
        <w:rPr>
          <w:rFonts w:ascii="Arial" w:hAnsi="Arial" w:hint="default"/>
          <w:b w:val="1"/>
          <w:bCs w:val="1"/>
          <w:sz w:val="21"/>
          <w:szCs w:val="21"/>
          <w:rtl w:val="0"/>
          <w:lang w:val="en-US"/>
        </w:rPr>
        <w:t xml:space="preserve">– </w:t>
      </w:r>
      <w:r>
        <w:rPr>
          <w:rFonts w:ascii="Arial" w:hAnsi="Arial"/>
          <w:b w:val="1"/>
          <w:bCs w:val="1"/>
          <w:sz w:val="21"/>
          <w:szCs w:val="21"/>
          <w:rtl w:val="0"/>
          <w:lang w:val="en-US"/>
        </w:rPr>
        <w:t xml:space="preserve">Tony Kirby of Tony Kirby PR. </w:t>
      </w:r>
      <w:r>
        <w:rPr>
          <w:rFonts w:ascii="Arial" w:hAnsi="Arial"/>
          <w:b w:val="1"/>
          <w:bCs w:val="1"/>
          <w:sz w:val="21"/>
          <w:szCs w:val="21"/>
          <w:rtl w:val="0"/>
          <w:lang w:val="es-ES_tradnl"/>
        </w:rPr>
        <w:t xml:space="preserve">T) +44 7834 385827 E) </w:t>
      </w:r>
      <w:r>
        <w:rPr>
          <w:rStyle w:val="Hyperlink.1"/>
        </w:rPr>
        <w:fldChar w:fldCharType="begin" w:fldLock="0"/>
      </w:r>
      <w:r>
        <w:rPr>
          <w:rStyle w:val="Hyperlink.1"/>
        </w:rPr>
        <w:instrText xml:space="preserve"> HYPERLINK "mailto:tony.kirby@tonykirby.com"</w:instrText>
      </w:r>
      <w:r>
        <w:rPr>
          <w:rStyle w:val="Hyperlink.1"/>
        </w:rPr>
        <w:fldChar w:fldCharType="separate" w:fldLock="0"/>
      </w:r>
      <w:r>
        <w:rPr>
          <w:rStyle w:val="Hyperlink.1"/>
          <w:rtl w:val="0"/>
          <w:lang w:val="es-ES_tradnl"/>
        </w:rPr>
        <w:t>tony.kirby@tonykirby.com</w:t>
      </w:r>
      <w:r>
        <w:rPr/>
        <w:fldChar w:fldCharType="end" w:fldLock="0"/>
      </w:r>
    </w:p>
    <w:p>
      <w:pPr>
        <w:pStyle w:val="Body"/>
        <w:rPr>
          <w:rFonts w:ascii="Arial" w:cs="Arial" w:hAnsi="Arial" w:eastAsia="Arial"/>
          <w:b w:val="1"/>
          <w:bCs w:val="1"/>
          <w:sz w:val="21"/>
          <w:szCs w:val="21"/>
        </w:rPr>
      </w:pPr>
      <w:r>
        <w:rPr>
          <w:rFonts w:ascii="Arial" w:hAnsi="Arial"/>
          <w:rtl w:val="0"/>
          <w:lang w:val="en-US"/>
        </w:rPr>
        <w:t xml:space="preserve">Conflict interest statement </w:t>
      </w:r>
      <w:r>
        <w:rPr>
          <w:rFonts w:ascii="Arial" w:hAnsi="Arial" w:hint="default"/>
          <w:rtl w:val="0"/>
          <w:lang w:val="en-US"/>
        </w:rPr>
        <w:t xml:space="preserve">– </w:t>
      </w:r>
      <w:r>
        <w:rPr>
          <w:rFonts w:ascii="Arial" w:hAnsi="Arial"/>
          <w:rtl w:val="0"/>
          <w:lang w:val="en-US"/>
        </w:rPr>
        <w:t xml:space="preserve">see paper for full disclosures. </w:t>
      </w:r>
    </w:p>
    <w:p>
      <w:pPr>
        <w:pStyle w:val="Body"/>
        <w:rPr>
          <w:rFonts w:ascii="Arial" w:cs="Arial" w:hAnsi="Arial" w:eastAsia="Arial"/>
          <w:b w:val="1"/>
          <w:bCs w:val="1"/>
          <w:sz w:val="21"/>
          <w:szCs w:val="21"/>
        </w:rPr>
      </w:pPr>
      <w:r>
        <w:rPr>
          <w:rtl w:val="0"/>
          <w:lang w:val="en-US"/>
        </w:rPr>
        <w:t xml:space="preserve">The Consensus Statement is to published in </w:t>
      </w:r>
      <w:r>
        <w:rPr>
          <w:rFonts w:ascii="Aptos" w:cs="Aptos" w:hAnsi="Aptos" w:eastAsia="Aptos"/>
          <w:i w:val="1"/>
          <w:iCs w:val="1"/>
          <w:rtl w:val="0"/>
          <w:lang w:val="en-US"/>
        </w:rPr>
        <w:t>The Lancet Diabetes &amp; Endocrinology</w:t>
      </w:r>
      <w:r>
        <w:rPr>
          <w:rtl w:val="0"/>
          <w:lang w:val="en-US"/>
        </w:rPr>
        <w:t xml:space="preserve"> at the above embargo time. Highlights from the statement were previously presented at the European Congress on Obesity 2026 in Istanbul, Turkey.</w:t>
      </w:r>
    </w:p>
    <w:p>
      <w:pPr>
        <w:pStyle w:val="Body"/>
        <w:spacing w:after="0" w:line="240" w:lineRule="auto"/>
        <w:rPr>
          <w:rFonts w:ascii="Arial" w:cs="Arial" w:hAnsi="Arial" w:eastAsia="Arial"/>
          <w:b w:val="1"/>
          <w:bCs w:val="1"/>
          <w:sz w:val="21"/>
          <w:szCs w:val="21"/>
        </w:rPr>
      </w:pPr>
      <w:r>
        <w:rPr>
          <w:rFonts w:ascii="Arial" w:hAnsi="Arial"/>
          <w:b w:val="1"/>
          <w:bCs w:val="1"/>
          <w:sz w:val="21"/>
          <w:szCs w:val="21"/>
          <w:rtl w:val="0"/>
          <w:lang w:val="nl-NL"/>
        </w:rPr>
        <w:t xml:space="preserve">For full embargoed paper to be published in </w:t>
      </w:r>
      <w:r>
        <w:rPr>
          <w:rFonts w:ascii="Arial" w:hAnsi="Arial"/>
          <w:b w:val="1"/>
          <w:bCs w:val="1"/>
          <w:i w:val="1"/>
          <w:iCs w:val="1"/>
          <w:sz w:val="21"/>
          <w:szCs w:val="21"/>
          <w:rtl w:val="0"/>
          <w:lang w:val="en-US"/>
        </w:rPr>
        <w:t>The Lancet Diabetes &amp; Endocrinology</w:t>
      </w:r>
      <w:r>
        <w:rPr>
          <w:rFonts w:ascii="Arial" w:hAnsi="Arial"/>
          <w:b w:val="1"/>
          <w:bCs w:val="1"/>
          <w:sz w:val="21"/>
          <w:szCs w:val="21"/>
          <w:rtl w:val="0"/>
          <w:lang w:val="de-DE"/>
        </w:rPr>
        <w:t xml:space="preserve">, click </w:t>
      </w:r>
      <w:r>
        <w:rPr>
          <w:rStyle w:val="Hyperlink.2"/>
        </w:rPr>
        <w:fldChar w:fldCharType="begin" w:fldLock="0"/>
      </w:r>
      <w:r>
        <w:rPr>
          <w:rStyle w:val="Hyperlink.2"/>
        </w:rPr>
        <w:instrText xml:space="preserve"> HYPERLINK "https://drive.google.com/file/d/1U4i6temeHK1Fm_QPwhmUprZelateug1_/view?usp=sharing"</w:instrText>
      </w:r>
      <w:r>
        <w:rPr>
          <w:rStyle w:val="Hyperlink.2"/>
        </w:rPr>
        <w:fldChar w:fldCharType="separate" w:fldLock="0"/>
      </w:r>
      <w:r>
        <w:rPr>
          <w:rStyle w:val="Hyperlink.2"/>
          <w:rtl w:val="0"/>
          <w:lang w:val="en-US"/>
        </w:rPr>
        <w:t>here</w:t>
      </w:r>
      <w:r>
        <w:rPr/>
        <w:fldChar w:fldCharType="end" w:fldLock="0"/>
      </w:r>
    </w:p>
    <w:p>
      <w:pPr>
        <w:pStyle w:val="Body"/>
        <w:spacing w:after="0" w:line="240" w:lineRule="auto"/>
        <w:rPr>
          <w:rFonts w:ascii="Arial" w:cs="Arial" w:hAnsi="Arial" w:eastAsia="Arial"/>
          <w:b w:val="1"/>
          <w:bCs w:val="1"/>
          <w:sz w:val="21"/>
          <w:szCs w:val="21"/>
        </w:rPr>
      </w:pPr>
    </w:p>
    <w:p>
      <w:pPr>
        <w:pStyle w:val="Body"/>
        <w:spacing w:after="0" w:line="240" w:lineRule="auto"/>
        <w:rPr>
          <w:rFonts w:ascii="Arial" w:cs="Arial" w:hAnsi="Arial" w:eastAsia="Arial"/>
          <w:b w:val="1"/>
          <w:bCs w:val="1"/>
          <w:sz w:val="21"/>
          <w:szCs w:val="21"/>
        </w:rPr>
      </w:pPr>
      <w:r>
        <w:rPr>
          <w:rFonts w:ascii="Arial" w:hAnsi="Arial"/>
          <w:b w:val="1"/>
          <w:bCs w:val="1"/>
          <w:sz w:val="21"/>
          <w:szCs w:val="21"/>
          <w:rtl w:val="0"/>
          <w:lang w:val="en-US"/>
        </w:rPr>
        <w:t xml:space="preserve">For appendix to the paper, click </w:t>
      </w:r>
      <w:r>
        <w:rPr>
          <w:rStyle w:val="Hyperlink.2"/>
        </w:rPr>
        <w:fldChar w:fldCharType="begin" w:fldLock="0"/>
      </w:r>
      <w:r>
        <w:rPr>
          <w:rStyle w:val="Hyperlink.2"/>
        </w:rPr>
        <w:instrText xml:space="preserve"> HYPERLINK "https://drive.google.com/file/d/1HTT2re0-GPihqFQvpdysBrbf4w9L1pur/view?usp=drive_link"</w:instrText>
      </w:r>
      <w:r>
        <w:rPr>
          <w:rStyle w:val="Hyperlink.2"/>
        </w:rPr>
        <w:fldChar w:fldCharType="separate" w:fldLock="0"/>
      </w:r>
      <w:r>
        <w:rPr>
          <w:rStyle w:val="Hyperlink.2"/>
          <w:rtl w:val="0"/>
          <w:lang w:val="en-US"/>
        </w:rPr>
        <w:t>here</w:t>
      </w:r>
      <w:r>
        <w:rPr/>
        <w:fldChar w:fldCharType="end" w:fldLock="0"/>
      </w:r>
    </w:p>
    <w:p>
      <w:pPr>
        <w:pStyle w:val="Body"/>
        <w:spacing w:after="0" w:line="240" w:lineRule="auto"/>
        <w:rPr>
          <w:rFonts w:ascii="Arial" w:cs="Arial" w:hAnsi="Arial" w:eastAsia="Arial"/>
          <w:b w:val="1"/>
          <w:bCs w:val="1"/>
          <w:sz w:val="21"/>
          <w:szCs w:val="21"/>
        </w:rPr>
      </w:pPr>
    </w:p>
    <w:p>
      <w:pPr>
        <w:pStyle w:val="Body"/>
        <w:spacing w:after="0" w:line="240" w:lineRule="auto"/>
        <w:rPr>
          <w:rFonts w:ascii="Arial" w:cs="Arial" w:hAnsi="Arial" w:eastAsia="Arial"/>
          <w:b w:val="1"/>
          <w:bCs w:val="1"/>
          <w:sz w:val="21"/>
          <w:szCs w:val="21"/>
        </w:rPr>
      </w:pPr>
      <w:r>
        <w:rPr>
          <w:rFonts w:ascii="Arial" w:hAnsi="Arial"/>
          <w:b w:val="1"/>
          <w:bCs w:val="1"/>
          <w:sz w:val="21"/>
          <w:szCs w:val="21"/>
          <w:rtl w:val="0"/>
          <w:lang w:val="en-US"/>
        </w:rPr>
        <w:t>For link to full paper that can be used your stories, please use</w:t>
      </w:r>
    </w:p>
    <w:p>
      <w:pPr>
        <w:pStyle w:val="Body"/>
        <w:spacing w:after="0" w:line="240" w:lineRule="auto"/>
        <w:rPr>
          <w:rFonts w:ascii="Arial" w:cs="Arial" w:hAnsi="Arial" w:eastAsia="Arial"/>
          <w:b w:val="1"/>
          <w:bCs w:val="1"/>
          <w:sz w:val="21"/>
          <w:szCs w:val="21"/>
        </w:rPr>
      </w:pPr>
      <w:r>
        <w:rPr>
          <w:rStyle w:val="Hyperlink.2"/>
        </w:rPr>
        <w:fldChar w:fldCharType="begin" w:fldLock="0"/>
      </w:r>
      <w:r>
        <w:rPr>
          <w:rStyle w:val="Hyperlink.2"/>
        </w:rPr>
        <w:instrText xml:space="preserve"> HYPERLINK "https://www.thelancet.com/journals/landia/article/PIIS2213-8587(26)00122-1/fulltext"</w:instrText>
      </w:r>
      <w:r>
        <w:rPr>
          <w:rStyle w:val="Hyperlink.2"/>
        </w:rPr>
        <w:fldChar w:fldCharType="separate" w:fldLock="0"/>
      </w:r>
      <w:r>
        <w:rPr>
          <w:rStyle w:val="Hyperlink.2"/>
          <w:rtl w:val="0"/>
          <w:lang w:val="en-US"/>
        </w:rPr>
        <w:t>https://www.thelancet.com/journals/landia/article/PIIS2213-8587(26)00122-1/fulltext</w:t>
      </w:r>
      <w:r>
        <w:rPr/>
        <w:fldChar w:fldCharType="end" w:fldLock="0"/>
      </w:r>
      <w:r>
        <w:rPr>
          <w:rFonts w:ascii="Arial" w:hAnsi="Arial" w:hint="default"/>
          <w:b w:val="1"/>
          <w:bCs w:val="1"/>
          <w:sz w:val="21"/>
          <w:szCs w:val="21"/>
          <w:rtl w:val="0"/>
          <w:lang w:val="en-US"/>
        </w:rPr>
        <w:t> </w:t>
      </w:r>
    </w:p>
    <w:p>
      <w:pPr>
        <w:pStyle w:val="Body"/>
        <w:spacing w:after="0" w:line="240" w:lineRule="auto"/>
        <w:rPr>
          <w:rFonts w:ascii="Arial" w:cs="Arial" w:hAnsi="Arial" w:eastAsia="Arial"/>
          <w:b w:val="1"/>
          <w:bCs w:val="1"/>
          <w:sz w:val="21"/>
          <w:szCs w:val="21"/>
        </w:rPr>
      </w:pPr>
    </w:p>
    <w:p>
      <w:pPr>
        <w:pStyle w:val="Body"/>
        <w:spacing w:after="0" w:line="240" w:lineRule="auto"/>
        <w:rPr>
          <w:rFonts w:ascii="Arial" w:cs="Arial" w:hAnsi="Arial" w:eastAsia="Arial"/>
          <w:b w:val="1"/>
          <w:bCs w:val="1"/>
          <w:sz w:val="21"/>
          <w:szCs w:val="21"/>
        </w:rPr>
      </w:pPr>
    </w:p>
    <w:p>
      <w:pPr>
        <w:pStyle w:val="Body"/>
      </w:pPr>
      <w:r/>
    </w:p>
    <w:sectPr>
      <w:headerReference w:type="default" r:id="rId4"/>
      <w:footerReference w:type="default" r:id="rId5"/>
      <w:pgSz w:w="11900" w:h="16840" w:orient="portrait"/>
      <w:pgMar w:top="1440" w:right="1440" w:bottom="1440" w:left="1440"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Aptos">
    <w:charset w:val="00"/>
    <w:family w:val="roman"/>
    <w:pitch w:val="default"/>
  </w:font>
  <w:font w:name="Cambria Math">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Aptos" w:cs="Aptos" w:hAnsi="Aptos" w:eastAsia="Aptos"/>
      <w:b w:val="0"/>
      <w:bCs w:val="0"/>
      <w:i w:val="0"/>
      <w:iCs w:val="0"/>
      <w:caps w:val="0"/>
      <w:smallCaps w:val="0"/>
      <w:strike w:val="0"/>
      <w:dstrike w:val="0"/>
      <w:outline w:val="0"/>
      <w:color w:val="000000"/>
      <w:spacing w:val="0"/>
      <w:kern w:val="2"/>
      <w:position w:val="0"/>
      <w:sz w:val="22"/>
      <w:szCs w:val="22"/>
      <w:u w:val="none" w:color="000000"/>
      <w:shd w:val="nil" w:color="auto" w:fill="auto"/>
      <w:vertAlign w:val="baseline"/>
      <w:lang w:val="en-US"/>
      <w14:textOutline>
        <w14:noFill/>
      </w14:textOutline>
      <w14:textFill>
        <w14:solidFill>
          <w14:srgbClr w14:val="000000"/>
        </w14:solidFill>
      </w14:textFill>
    </w:rPr>
  </w:style>
  <w:style w:type="character" w:styleId="Link">
    <w:name w:val="Link"/>
    <w:rPr>
      <w:outline w:val="0"/>
      <w:color w:val="467886"/>
      <w:u w:val="single" w:color="467886"/>
      <w14:textFill>
        <w14:solidFill>
          <w14:srgbClr w14:val="467886"/>
        </w14:solidFill>
      </w14:textFill>
    </w:rPr>
  </w:style>
  <w:style w:type="character" w:styleId="Hyperlink.0">
    <w:name w:val="Hyperlink.0"/>
    <w:basedOn w:val="Link"/>
    <w:next w:val="Hyperlink.0"/>
    <w:rPr>
      <w:rFonts w:ascii="Arial" w:cs="Arial" w:hAnsi="Arial" w:eastAsia="Arial"/>
      <w:b w:val="1"/>
      <w:bCs w:val="1"/>
      <w:sz w:val="21"/>
      <w:szCs w:val="21"/>
      <w:shd w:val="clear" w:color="auto" w:fill="ffffff"/>
    </w:rPr>
  </w:style>
  <w:style w:type="character" w:styleId="Hyperlink.1">
    <w:name w:val="Hyperlink.1"/>
    <w:basedOn w:val="Link"/>
    <w:next w:val="Hyperlink.1"/>
    <w:rPr>
      <w:rFonts w:ascii="Arial" w:cs="Arial" w:hAnsi="Arial" w:eastAsia="Arial"/>
      <w:b w:val="1"/>
      <w:bCs w:val="1"/>
      <w:sz w:val="21"/>
      <w:szCs w:val="21"/>
      <w:lang w:val="es-ES_tradnl"/>
    </w:rPr>
  </w:style>
  <w:style w:type="character" w:styleId="Hyperlink.2">
    <w:name w:val="Hyperlink.2"/>
    <w:basedOn w:val="Link"/>
    <w:next w:val="Hyperlink.2"/>
    <w:rPr>
      <w:rFonts w:ascii="Arial" w:cs="Arial" w:hAnsi="Arial" w:eastAsia="Arial"/>
      <w:b w:val="1"/>
      <w:bCs w:val="1"/>
      <w:sz w:val="21"/>
      <w:szCs w:val="21"/>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156082"/>
      </a:accent1>
      <a:accent2>
        <a:srgbClr val="E97132"/>
      </a:accent2>
      <a:accent3>
        <a:srgbClr val="196B24"/>
      </a:accent3>
      <a:accent4>
        <a:srgbClr val="0F9ED5"/>
      </a:accent4>
      <a:accent5>
        <a:srgbClr val="A02B93"/>
      </a:accent5>
      <a:accent6>
        <a:srgbClr val="4EA72E"/>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